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C7" w:rsidRPr="00746D1C" w:rsidRDefault="00646113" w:rsidP="00746D1C">
      <w:pPr>
        <w:jc w:val="center"/>
        <w:rPr>
          <w:b/>
          <w:sz w:val="32"/>
          <w:szCs w:val="32"/>
          <w:u w:val="single"/>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0;text-align:left;margin-left:346.85pt;margin-top:0;width:121.55pt;height:50.3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067 0 2267 645 267 4513 -133 8704 -133 11928 0 15475 2133 20633 3200 21278 5600 21278 21600 21278 21600 18054 15200 15797 6000 15475 20933 13863 20933 10961 12933 10316 15733 8704 15867 967 15467 0 3067 0">
            <v:imagedata r:id="rId7" o:title=""/>
            <w10:wrap type="tight"/>
          </v:shape>
        </w:pict>
      </w:r>
      <w:r>
        <w:rPr>
          <w:noProof/>
        </w:rPr>
        <w:pict>
          <v:shape id="Picture 12" o:spid="_x0000_s1029" type="#_x0000_t75" style="position:absolute;left:0;text-align:left;margin-left:-.55pt;margin-top:-3.65pt;width:111.7pt;height:64.8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45 0 -145 21349 21600 21349 21600 0 -145 0">
            <v:imagedata r:id="rId8" o:title=""/>
            <w10:wrap type="tight"/>
          </v:shape>
        </w:pict>
      </w:r>
      <w:r w:rsidR="002577C7" w:rsidRPr="009542AB">
        <w:rPr>
          <w:sz w:val="32"/>
          <w:szCs w:val="32"/>
          <w:lang w:val="fr-FR"/>
        </w:rPr>
        <w:t xml:space="preserve">  </w:t>
      </w:r>
      <w:r w:rsidR="002577C7" w:rsidRPr="009542AB">
        <w:rPr>
          <w:color w:val="80B6E6"/>
          <w:sz w:val="28"/>
          <w:lang w:val="fr-FR"/>
        </w:rPr>
        <w:t xml:space="preserve">                                  </w:t>
      </w:r>
      <w:r w:rsidR="002577C7" w:rsidRPr="009542AB">
        <w:rPr>
          <w:b/>
          <w:color w:val="80B6E6"/>
          <w:sz w:val="28"/>
          <w:lang w:val="fr-FR"/>
        </w:rPr>
        <w:t xml:space="preserve">        </w:t>
      </w:r>
    </w:p>
    <w:p w:rsidR="00646113" w:rsidRDefault="00646113" w:rsidP="00436B8A">
      <w:pPr>
        <w:spacing w:line="240" w:lineRule="auto"/>
        <w:jc w:val="center"/>
        <w:rPr>
          <w:rFonts w:ascii="Garamond" w:hAnsi="Garamond"/>
          <w:b/>
          <w:sz w:val="28"/>
          <w:szCs w:val="28"/>
          <w:u w:val="single"/>
        </w:rPr>
      </w:pPr>
    </w:p>
    <w:p w:rsidR="00646113" w:rsidRDefault="00646113" w:rsidP="00436B8A">
      <w:pPr>
        <w:spacing w:line="240" w:lineRule="auto"/>
        <w:jc w:val="center"/>
        <w:rPr>
          <w:rFonts w:ascii="Garamond" w:hAnsi="Garamond"/>
          <w:b/>
          <w:sz w:val="28"/>
          <w:szCs w:val="28"/>
          <w:u w:val="single"/>
        </w:rPr>
      </w:pPr>
    </w:p>
    <w:p w:rsidR="002577C7" w:rsidRPr="00222DA7" w:rsidRDefault="002577C7" w:rsidP="00436B8A">
      <w:pPr>
        <w:spacing w:line="240" w:lineRule="auto"/>
        <w:jc w:val="center"/>
        <w:rPr>
          <w:rFonts w:ascii="Garamond" w:hAnsi="Garamond"/>
          <w:b/>
          <w:sz w:val="28"/>
          <w:szCs w:val="28"/>
          <w:u w:val="single"/>
        </w:rPr>
      </w:pPr>
      <w:r>
        <w:rPr>
          <w:rFonts w:ascii="Garamond" w:hAnsi="Garamond"/>
          <w:b/>
          <w:sz w:val="28"/>
          <w:szCs w:val="28"/>
          <w:u w:val="single"/>
        </w:rPr>
        <w:t>Introduction au kit de formation pour la prophylaxie pré-exposition (PrEP)</w:t>
      </w:r>
    </w:p>
    <w:p w:rsidR="002577C7" w:rsidRDefault="002577C7" w:rsidP="00746D1C">
      <w:pPr>
        <w:rPr>
          <w:rFonts w:ascii="Garamond" w:hAnsi="Garamond"/>
          <w:lang w:val="fr-FR"/>
        </w:rPr>
      </w:pPr>
      <w:r>
        <w:rPr>
          <w:rFonts w:ascii="Garamond" w:hAnsi="Garamond" w:cs="Arial"/>
          <w:color w:val="222222"/>
        </w:rPr>
        <w:t xml:space="preserve">Le kit de formation pour la prophylaxie pré-exposition (PrPE) a été conçu par l'ICAP à l'université de Columbia pour appuyer la mise en œuvre de la PrEP. </w:t>
      </w:r>
      <w:r w:rsidRPr="009542AB">
        <w:rPr>
          <w:rFonts w:ascii="Garamond" w:hAnsi="Garamond"/>
          <w:lang w:val="fr-FR"/>
        </w:rPr>
        <w:t xml:space="preserve">Le programme de formation et les outils constituent le fondement de cet objectif  et il se pourrait qu'il faille les adapter à différents milieux. </w:t>
      </w:r>
      <w:r>
        <w:rPr>
          <w:rFonts w:ascii="Garamond" w:hAnsi="Garamond"/>
          <w:lang w:val="fr-FR"/>
        </w:rPr>
        <w:t>L</w:t>
      </w:r>
      <w:r w:rsidRPr="009542AB">
        <w:rPr>
          <w:rFonts w:ascii="Garamond" w:hAnsi="Garamond"/>
          <w:lang w:val="fr-FR"/>
        </w:rPr>
        <w:t>e recours à la PrEP étant un domaine en pleine évolution, en toute probabilité ces documents devront être mis à jour à mesure que de nouvelles informations sur la PrEP apparaîtront et que les expériences relatives à sa mise en œuvre se multiplieront.</w:t>
      </w:r>
    </w:p>
    <w:p w:rsidR="002577C7" w:rsidRPr="00F95C52" w:rsidRDefault="002577C7" w:rsidP="00F95C52">
      <w:pPr>
        <w:shd w:val="clear" w:color="auto" w:fill="FFFFFF"/>
        <w:spacing w:after="0" w:line="480" w:lineRule="auto"/>
        <w:rPr>
          <w:rFonts w:ascii="Garamond" w:hAnsi="Garamond" w:cs="Arial"/>
          <w:color w:val="222222"/>
        </w:rPr>
      </w:pPr>
      <w:r>
        <w:rPr>
          <w:rFonts w:ascii="Garamond" w:hAnsi="Garamond" w:cs="Arial"/>
          <w:color w:val="222222"/>
        </w:rPr>
        <w:t>Le kit de formation comprend les éléments suivants :</w:t>
      </w:r>
    </w:p>
    <w:p w:rsidR="002577C7" w:rsidRPr="00F95C52" w:rsidRDefault="002577C7" w:rsidP="00646113">
      <w:pPr>
        <w:spacing w:after="60" w:line="240" w:lineRule="auto"/>
        <w:ind w:firstLine="720"/>
        <w:rPr>
          <w:rFonts w:ascii="Garamond" w:hAnsi="Garamond"/>
          <w:b/>
        </w:rPr>
      </w:pPr>
      <w:r>
        <w:rPr>
          <w:rFonts w:ascii="Garamond" w:hAnsi="Garamond"/>
          <w:b/>
        </w:rPr>
        <w:t xml:space="preserve">1.  </w:t>
      </w:r>
      <w:r w:rsidRPr="00F95C52">
        <w:rPr>
          <w:rFonts w:ascii="Garamond" w:hAnsi="Garamond"/>
          <w:b/>
        </w:rPr>
        <w:t xml:space="preserve">Programme de formation : </w:t>
      </w:r>
    </w:p>
    <w:p w:rsidR="002577C7" w:rsidRPr="00222DA7" w:rsidRDefault="002577C7" w:rsidP="00646113">
      <w:pPr>
        <w:pStyle w:val="ListParagraph"/>
        <w:numPr>
          <w:ilvl w:val="1"/>
          <w:numId w:val="23"/>
        </w:numPr>
        <w:spacing w:after="60" w:line="240" w:lineRule="auto"/>
        <w:contextualSpacing w:val="0"/>
        <w:rPr>
          <w:rFonts w:ascii="Garamond" w:hAnsi="Garamond"/>
        </w:rPr>
      </w:pPr>
      <w:r w:rsidRPr="00222DA7">
        <w:rPr>
          <w:rFonts w:ascii="Garamond" w:hAnsi="Garamond"/>
        </w:rPr>
        <w:t>Présentation PowerPoint pour la PrEP</w:t>
      </w:r>
    </w:p>
    <w:p w:rsidR="002577C7" w:rsidRPr="00025B02" w:rsidRDefault="002577C7" w:rsidP="00646113">
      <w:pPr>
        <w:numPr>
          <w:ilvl w:val="2"/>
          <w:numId w:val="23"/>
        </w:numPr>
        <w:shd w:val="clear" w:color="auto" w:fill="FFFFFF"/>
        <w:spacing w:before="100" w:beforeAutospacing="1" w:after="60" w:line="240" w:lineRule="auto"/>
        <w:ind w:left="1890" w:hanging="270"/>
        <w:rPr>
          <w:rFonts w:ascii="Garamond" w:hAnsi="Garamond"/>
        </w:rPr>
      </w:pPr>
      <w:r w:rsidRPr="00025B02">
        <w:rPr>
          <w:rFonts w:ascii="Garamond" w:hAnsi="Garamond"/>
        </w:rPr>
        <w:t xml:space="preserve"> </w:t>
      </w:r>
      <w:r>
        <w:rPr>
          <w:rFonts w:ascii="Garamond" w:hAnsi="Garamond"/>
        </w:rPr>
        <w:t xml:space="preserve">Il </w:t>
      </w:r>
      <w:r w:rsidRPr="00025B02">
        <w:rPr>
          <w:rFonts w:ascii="Garamond" w:hAnsi="Garamond"/>
        </w:rPr>
        <w:t>convient de noter que les diapositives</w:t>
      </w:r>
      <w:r>
        <w:rPr>
          <w:rFonts w:ascii="Garamond" w:hAnsi="Garamond"/>
        </w:rPr>
        <w:t> </w:t>
      </w:r>
      <w:r w:rsidRPr="00025B02">
        <w:rPr>
          <w:rFonts w:ascii="Garamond" w:hAnsi="Garamond"/>
          <w:b/>
        </w:rPr>
        <w:t>10, 29, 34, et 49</w:t>
      </w:r>
      <w:r w:rsidRPr="00025B02">
        <w:rPr>
          <w:rFonts w:ascii="Garamond" w:hAnsi="Garamond"/>
        </w:rPr>
        <w:t xml:space="preserve"> sont à adapter en fonction du pays et du milieu.</w:t>
      </w:r>
    </w:p>
    <w:p w:rsidR="002577C7" w:rsidRPr="00025B02" w:rsidRDefault="002577C7" w:rsidP="00646113">
      <w:pPr>
        <w:pStyle w:val="ListParagraph"/>
        <w:numPr>
          <w:ilvl w:val="1"/>
          <w:numId w:val="23"/>
        </w:numPr>
        <w:spacing w:after="60" w:line="240" w:lineRule="auto"/>
        <w:contextualSpacing w:val="0"/>
        <w:rPr>
          <w:rFonts w:ascii="Garamond" w:hAnsi="Garamond"/>
        </w:rPr>
      </w:pPr>
      <w:r w:rsidRPr="00025B02">
        <w:rPr>
          <w:rFonts w:ascii="Garamond" w:hAnsi="Garamond"/>
        </w:rPr>
        <w:t xml:space="preserve"> Manuel</w:t>
      </w:r>
      <w:r>
        <w:rPr>
          <w:rFonts w:ascii="Garamond" w:hAnsi="Garamond"/>
        </w:rPr>
        <w:t xml:space="preserve"> </w:t>
      </w:r>
      <w:r w:rsidR="00646113">
        <w:rPr>
          <w:rFonts w:ascii="Garamond" w:hAnsi="Garamond"/>
        </w:rPr>
        <w:t>du formateur</w:t>
      </w:r>
      <w:r w:rsidRPr="00025B02">
        <w:rPr>
          <w:rFonts w:ascii="Garamond" w:hAnsi="Garamond"/>
        </w:rPr>
        <w:t xml:space="preserve"> (outils de travail inclus)</w:t>
      </w:r>
    </w:p>
    <w:p w:rsidR="002577C7" w:rsidRPr="00025B02" w:rsidRDefault="002577C7" w:rsidP="00646113">
      <w:pPr>
        <w:pStyle w:val="ListParagraph"/>
        <w:numPr>
          <w:ilvl w:val="1"/>
          <w:numId w:val="23"/>
        </w:numPr>
        <w:spacing w:after="60" w:line="240" w:lineRule="auto"/>
        <w:contextualSpacing w:val="0"/>
        <w:rPr>
          <w:rFonts w:ascii="Garamond" w:hAnsi="Garamond"/>
        </w:rPr>
      </w:pPr>
      <w:r w:rsidRPr="00025B02">
        <w:rPr>
          <w:rFonts w:ascii="Garamond" w:hAnsi="Garamond"/>
        </w:rPr>
        <w:t xml:space="preserve"> Manuel du participant (outils de travail inclus)</w:t>
      </w:r>
    </w:p>
    <w:p w:rsidR="002577C7" w:rsidRPr="00F95C52" w:rsidRDefault="002577C7" w:rsidP="00F95C52">
      <w:pPr>
        <w:pStyle w:val="ListParagraph"/>
        <w:numPr>
          <w:ilvl w:val="1"/>
          <w:numId w:val="23"/>
        </w:numPr>
        <w:spacing w:after="0" w:line="480" w:lineRule="auto"/>
        <w:rPr>
          <w:rFonts w:ascii="Garamond" w:hAnsi="Garamond"/>
        </w:rPr>
      </w:pPr>
      <w:r w:rsidRPr="00025B02">
        <w:rPr>
          <w:rFonts w:ascii="Garamond" w:hAnsi="Garamond"/>
        </w:rPr>
        <w:t xml:space="preserve">Modèle de </w:t>
      </w:r>
      <w:r>
        <w:rPr>
          <w:rFonts w:ascii="Garamond" w:hAnsi="Garamond"/>
        </w:rPr>
        <w:t>c</w:t>
      </w:r>
      <w:r w:rsidRPr="00025B02">
        <w:rPr>
          <w:rFonts w:ascii="Garamond" w:hAnsi="Garamond"/>
        </w:rPr>
        <w:t xml:space="preserve">ertificat </w:t>
      </w:r>
      <w:r>
        <w:rPr>
          <w:rFonts w:ascii="Garamond" w:hAnsi="Garamond"/>
        </w:rPr>
        <w:t>d’achèvement</w:t>
      </w:r>
    </w:p>
    <w:p w:rsidR="002577C7" w:rsidRPr="004740DE" w:rsidRDefault="002577C7" w:rsidP="00F95C52">
      <w:pPr>
        <w:pStyle w:val="ListParagraph"/>
        <w:spacing w:before="200" w:line="360" w:lineRule="auto"/>
        <w:ind w:left="0" w:firstLine="720"/>
        <w:jc w:val="both"/>
        <w:rPr>
          <w:b/>
          <w:i/>
          <w:lang w:val="fr-FR"/>
        </w:rPr>
      </w:pPr>
      <w:r>
        <w:rPr>
          <w:rFonts w:ascii="Garamond" w:hAnsi="Garamond"/>
          <w:b/>
          <w:lang w:val="fr-FR"/>
        </w:rPr>
        <w:t xml:space="preserve">2.  </w:t>
      </w:r>
      <w:r w:rsidRPr="00F95C52">
        <w:rPr>
          <w:rFonts w:ascii="Garamond" w:hAnsi="Garamond"/>
          <w:b/>
          <w:lang w:val="fr-FR"/>
        </w:rPr>
        <w:t>Outils de</w:t>
      </w:r>
      <w:r w:rsidR="00646113">
        <w:rPr>
          <w:rFonts w:ascii="Garamond" w:hAnsi="Garamond"/>
          <w:b/>
          <w:lang w:val="fr-FR"/>
        </w:rPr>
        <w:t xml:space="preserve"> suivi et d’évaluation pour la</w:t>
      </w:r>
      <w:r w:rsidRPr="00F95C52">
        <w:rPr>
          <w:rFonts w:ascii="Garamond" w:hAnsi="Garamond"/>
          <w:b/>
          <w:lang w:val="fr-FR"/>
        </w:rPr>
        <w:t xml:space="preserve"> PrEP:</w:t>
      </w:r>
    </w:p>
    <w:p w:rsidR="002577C7" w:rsidRPr="009542AB" w:rsidRDefault="002577C7" w:rsidP="00646113">
      <w:pPr>
        <w:pStyle w:val="ListParagraph"/>
        <w:numPr>
          <w:ilvl w:val="0"/>
          <w:numId w:val="25"/>
        </w:numPr>
        <w:ind w:left="1440"/>
        <w:rPr>
          <w:rFonts w:ascii="Garamond" w:hAnsi="Garamond"/>
          <w:lang w:val="fr-FR"/>
        </w:rPr>
      </w:pPr>
      <w:r w:rsidRPr="009542AB">
        <w:rPr>
          <w:rFonts w:ascii="Garamond" w:hAnsi="Garamond"/>
          <w:lang w:val="fr-FR"/>
        </w:rPr>
        <w:t>Formulaire PrEP de dépistage des risques et d'admissibilité</w:t>
      </w:r>
    </w:p>
    <w:p w:rsidR="002577C7" w:rsidRPr="009542AB" w:rsidRDefault="002577C7" w:rsidP="00646113">
      <w:pPr>
        <w:pStyle w:val="ListParagraph"/>
        <w:numPr>
          <w:ilvl w:val="1"/>
          <w:numId w:val="25"/>
        </w:numPr>
        <w:spacing w:after="100" w:line="240" w:lineRule="auto"/>
        <w:ind w:left="1987"/>
        <w:contextualSpacing w:val="0"/>
        <w:rPr>
          <w:rFonts w:ascii="Garamond" w:hAnsi="Garamond"/>
          <w:lang w:val="fr-FR"/>
        </w:rPr>
      </w:pPr>
      <w:r w:rsidRPr="009542AB">
        <w:rPr>
          <w:rFonts w:ascii="Garamond" w:hAnsi="Garamond"/>
          <w:lang w:val="fr-FR"/>
        </w:rPr>
        <w:t xml:space="preserve">Cet outil fait état du processus permettant d'établir l'admissibilité à la PrEP des patients qui désirent en commencer une. Il signale également vers quels services ils ont été orientés, notamment les services de PrEP. </w:t>
      </w:r>
    </w:p>
    <w:p w:rsidR="002577C7" w:rsidRPr="009542AB" w:rsidRDefault="002577C7" w:rsidP="00646113">
      <w:pPr>
        <w:pStyle w:val="ListParagraph"/>
        <w:numPr>
          <w:ilvl w:val="0"/>
          <w:numId w:val="25"/>
        </w:numPr>
        <w:spacing w:after="0"/>
        <w:ind w:hanging="720"/>
        <w:contextualSpacing w:val="0"/>
        <w:rPr>
          <w:rFonts w:ascii="Garamond" w:hAnsi="Garamond"/>
          <w:lang w:val="fr-FR"/>
        </w:rPr>
      </w:pPr>
      <w:r w:rsidRPr="009542AB">
        <w:rPr>
          <w:rFonts w:ascii="Garamond" w:hAnsi="Garamond"/>
          <w:lang w:val="fr-FR"/>
        </w:rPr>
        <w:t>Rapport d'établissement PrEP</w:t>
      </w:r>
    </w:p>
    <w:p w:rsidR="002577C7" w:rsidRPr="009542AB" w:rsidRDefault="002577C7" w:rsidP="00646113">
      <w:pPr>
        <w:pStyle w:val="ListParagraph"/>
        <w:numPr>
          <w:ilvl w:val="1"/>
          <w:numId w:val="25"/>
        </w:numPr>
        <w:spacing w:after="100" w:line="240" w:lineRule="auto"/>
        <w:ind w:left="1987"/>
        <w:contextualSpacing w:val="0"/>
        <w:rPr>
          <w:rFonts w:ascii="Garamond" w:hAnsi="Garamond"/>
          <w:lang w:val="fr-FR"/>
        </w:rPr>
      </w:pPr>
      <w:r w:rsidRPr="009542AB">
        <w:rPr>
          <w:rFonts w:ascii="Garamond" w:hAnsi="Garamond"/>
          <w:lang w:val="fr-FR"/>
        </w:rPr>
        <w:t xml:space="preserve">Cet outil sert de dossier médical du patient et doit être conservé dans l'établissement de santé qui offre la PrEP. </w:t>
      </w:r>
    </w:p>
    <w:p w:rsidR="002577C7" w:rsidRPr="009542AB" w:rsidRDefault="002577C7" w:rsidP="00646113">
      <w:pPr>
        <w:pStyle w:val="ListParagraph"/>
        <w:numPr>
          <w:ilvl w:val="0"/>
          <w:numId w:val="25"/>
        </w:numPr>
        <w:ind w:hanging="720"/>
        <w:rPr>
          <w:rFonts w:ascii="Garamond" w:hAnsi="Garamond"/>
          <w:lang w:val="fr-FR"/>
        </w:rPr>
      </w:pPr>
      <w:r w:rsidRPr="009542AB">
        <w:rPr>
          <w:rFonts w:ascii="Garamond" w:hAnsi="Garamond"/>
          <w:lang w:val="fr-FR"/>
        </w:rPr>
        <w:t>Registre des patients PrEP (fichier Excel annexé séparément)</w:t>
      </w:r>
    </w:p>
    <w:p w:rsidR="002577C7" w:rsidRPr="009542AB" w:rsidRDefault="002577C7" w:rsidP="00646113">
      <w:pPr>
        <w:pStyle w:val="ListParagraph"/>
        <w:numPr>
          <w:ilvl w:val="1"/>
          <w:numId w:val="25"/>
        </w:numPr>
        <w:spacing w:after="100" w:line="240" w:lineRule="auto"/>
        <w:ind w:left="1987"/>
        <w:contextualSpacing w:val="0"/>
        <w:rPr>
          <w:rFonts w:ascii="Garamond" w:hAnsi="Garamond"/>
          <w:lang w:val="fr-FR"/>
        </w:rPr>
      </w:pPr>
      <w:r w:rsidRPr="009542AB">
        <w:rPr>
          <w:rFonts w:ascii="Garamond" w:hAnsi="Garamond"/>
          <w:lang w:val="fr-FR"/>
        </w:rPr>
        <w:t>Cet outil fournit un résumé des données longitudinales essentielles relatives à chaque patient inscrit dans le rapport d'établissement PrEP.</w:t>
      </w:r>
    </w:p>
    <w:p w:rsidR="002577C7" w:rsidRPr="009542AB" w:rsidRDefault="002577C7" w:rsidP="00646113">
      <w:pPr>
        <w:pStyle w:val="ListParagraph"/>
        <w:numPr>
          <w:ilvl w:val="0"/>
          <w:numId w:val="25"/>
        </w:numPr>
        <w:ind w:hanging="720"/>
        <w:rPr>
          <w:rFonts w:ascii="Garamond" w:hAnsi="Garamond"/>
          <w:lang w:val="fr-FR"/>
        </w:rPr>
      </w:pPr>
      <w:r w:rsidRPr="009542AB">
        <w:rPr>
          <w:rFonts w:ascii="Garamond" w:hAnsi="Garamond"/>
          <w:lang w:val="fr-FR"/>
        </w:rPr>
        <w:t xml:space="preserve">Rapport mensuel des patients PrEP </w:t>
      </w:r>
    </w:p>
    <w:p w:rsidR="002577C7" w:rsidRPr="009542AB" w:rsidRDefault="002577C7" w:rsidP="00646113">
      <w:pPr>
        <w:pStyle w:val="ListParagraph"/>
        <w:numPr>
          <w:ilvl w:val="1"/>
          <w:numId w:val="25"/>
        </w:numPr>
        <w:spacing w:after="100" w:line="240" w:lineRule="auto"/>
        <w:ind w:left="1987"/>
        <w:contextualSpacing w:val="0"/>
        <w:rPr>
          <w:rFonts w:ascii="Garamond" w:hAnsi="Garamond"/>
          <w:lang w:val="fr-FR"/>
        </w:rPr>
      </w:pPr>
      <w:r w:rsidRPr="009542AB">
        <w:rPr>
          <w:rFonts w:ascii="Garamond" w:hAnsi="Garamond"/>
          <w:lang w:val="fr-FR"/>
        </w:rPr>
        <w:t xml:space="preserve">Il s'agit d'un formulaire type permettant aux établissements de santé d'enregistrer des informations cumulatives mensuelles au sujet des services de PrEP. Les données agrégées peuvent être </w:t>
      </w:r>
      <w:bookmarkStart w:id="0" w:name="_GoBack"/>
      <w:bookmarkEnd w:id="0"/>
      <w:r w:rsidRPr="009542AB">
        <w:rPr>
          <w:rFonts w:ascii="Garamond" w:hAnsi="Garamond"/>
          <w:lang w:val="fr-FR"/>
        </w:rPr>
        <w:t xml:space="preserve">calculées grâce aux informations inscrites dans le registre des patients PrEP. </w:t>
      </w:r>
    </w:p>
    <w:p w:rsidR="002577C7" w:rsidRPr="009542AB" w:rsidRDefault="002577C7" w:rsidP="00646113">
      <w:pPr>
        <w:pStyle w:val="ListParagraph"/>
        <w:numPr>
          <w:ilvl w:val="0"/>
          <w:numId w:val="25"/>
        </w:numPr>
        <w:ind w:hanging="720"/>
        <w:rPr>
          <w:rFonts w:ascii="Garamond" w:hAnsi="Garamond"/>
          <w:lang w:val="fr-FR"/>
        </w:rPr>
      </w:pPr>
      <w:r w:rsidRPr="009542AB">
        <w:rPr>
          <w:rFonts w:ascii="Garamond" w:hAnsi="Garamond"/>
          <w:lang w:val="fr-FR"/>
        </w:rPr>
        <w:t xml:space="preserve">Rapport trimestriel de cohortes PrEP </w:t>
      </w:r>
    </w:p>
    <w:p w:rsidR="002577C7" w:rsidRPr="00646113" w:rsidRDefault="002577C7" w:rsidP="00646113">
      <w:pPr>
        <w:pStyle w:val="ListParagraph"/>
        <w:numPr>
          <w:ilvl w:val="1"/>
          <w:numId w:val="25"/>
        </w:numPr>
        <w:spacing w:line="240" w:lineRule="auto"/>
        <w:ind w:left="1890" w:hanging="270"/>
        <w:rPr>
          <w:rFonts w:ascii="Garamond" w:hAnsi="Garamond"/>
          <w:lang w:val="fr-FR"/>
        </w:rPr>
      </w:pPr>
      <w:r w:rsidRPr="009542AB">
        <w:rPr>
          <w:rFonts w:ascii="Garamond" w:hAnsi="Garamond"/>
          <w:lang w:val="fr-FR"/>
        </w:rPr>
        <w:t xml:space="preserve">Cet outil inclut une feuille de calcul et un document type de rapport sommaire permettant de calculer et de rendre compte des  résultats liés à la PrEP suivie par le patient, comme la rétention des patients et la réalisation des tests de suivi de dépistages du VIH. Les informations nécessaires pour remplir ce rapport sont disponibles dans le registre des patients PrEP.  </w:t>
      </w:r>
    </w:p>
    <w:sectPr w:rsidR="002577C7" w:rsidRPr="00646113" w:rsidSect="00646113">
      <w:footerReference w:type="default" r:id="rId9"/>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11" w:rsidRDefault="00A17711" w:rsidP="000E3422">
      <w:pPr>
        <w:spacing w:after="0" w:line="240" w:lineRule="auto"/>
      </w:pPr>
      <w:r>
        <w:separator/>
      </w:r>
    </w:p>
  </w:endnote>
  <w:endnote w:type="continuationSeparator" w:id="0">
    <w:p w:rsidR="00A17711" w:rsidRDefault="00A17711" w:rsidP="000E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Myriad Pro">
    <w:panose1 w:val="00000000000000000000"/>
    <w:charset w:val="00"/>
    <w:family w:val="auto"/>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7C7" w:rsidRPr="00AB67D7" w:rsidRDefault="002577C7" w:rsidP="00AB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11" w:rsidRDefault="00A17711" w:rsidP="000E3422">
      <w:pPr>
        <w:spacing w:after="0" w:line="240" w:lineRule="auto"/>
      </w:pPr>
      <w:r>
        <w:separator/>
      </w:r>
    </w:p>
  </w:footnote>
  <w:footnote w:type="continuationSeparator" w:id="0">
    <w:p w:rsidR="00A17711" w:rsidRDefault="00A17711" w:rsidP="000E3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4FCB"/>
    <w:multiLevelType w:val="hybridMultilevel"/>
    <w:tmpl w:val="A48AB4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92337"/>
    <w:multiLevelType w:val="hybridMultilevel"/>
    <w:tmpl w:val="7960F7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422F"/>
    <w:multiLevelType w:val="hybridMultilevel"/>
    <w:tmpl w:val="748A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477E3"/>
    <w:multiLevelType w:val="hybridMultilevel"/>
    <w:tmpl w:val="FF6A350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D310D9"/>
    <w:multiLevelType w:val="hybridMultilevel"/>
    <w:tmpl w:val="2EF6F232"/>
    <w:lvl w:ilvl="0" w:tplc="D5C2F2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6833BE"/>
    <w:multiLevelType w:val="hybridMultilevel"/>
    <w:tmpl w:val="7482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BD6811"/>
    <w:multiLevelType w:val="hybridMultilevel"/>
    <w:tmpl w:val="3544D6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F4C75"/>
    <w:multiLevelType w:val="hybridMultilevel"/>
    <w:tmpl w:val="B87621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B1BDD"/>
    <w:multiLevelType w:val="multilevel"/>
    <w:tmpl w:val="6C1C0C3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56592A"/>
    <w:multiLevelType w:val="hybridMultilevel"/>
    <w:tmpl w:val="19C0510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3933D4"/>
    <w:multiLevelType w:val="hybridMultilevel"/>
    <w:tmpl w:val="F7C4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B00CF"/>
    <w:multiLevelType w:val="hybridMultilevel"/>
    <w:tmpl w:val="24EA67D2"/>
    <w:lvl w:ilvl="0" w:tplc="79400666">
      <w:start w:val="1"/>
      <w:numFmt w:val="bullet"/>
      <w:lvlText w:val="o"/>
      <w:lvlJc w:val="left"/>
      <w:pPr>
        <w:ind w:left="720" w:hanging="360"/>
      </w:pPr>
      <w:rPr>
        <w:rFonts w:ascii="Courier New" w:hAnsi="Courier New" w:hint="default"/>
        <w:sz w:val="24"/>
      </w:rPr>
    </w:lvl>
    <w:lvl w:ilvl="1" w:tplc="E5BACB54">
      <w:numFmt w:val="bullet"/>
      <w:lvlText w:val=""/>
      <w:lvlJc w:val="left"/>
      <w:pPr>
        <w:ind w:left="1800" w:hanging="720"/>
      </w:pPr>
      <w:rPr>
        <w:rFonts w:ascii="Symbol" w:eastAsia="MS Minngs"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07480"/>
    <w:multiLevelType w:val="hybridMultilevel"/>
    <w:tmpl w:val="5E4A9542"/>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2211294"/>
    <w:multiLevelType w:val="hybridMultilevel"/>
    <w:tmpl w:val="F31AC6DE"/>
    <w:lvl w:ilvl="0" w:tplc="7BB67C98">
      <w:start w:val="1"/>
      <w:numFmt w:val="decimal"/>
      <w:lvlText w:val="%1."/>
      <w:lvlJc w:val="left"/>
      <w:pPr>
        <w:ind w:left="360" w:hanging="360"/>
      </w:pPr>
      <w:rPr>
        <w:rFonts w:cs="Times New Roman" w:hint="default"/>
        <w:b w:val="0"/>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37A2D32"/>
    <w:multiLevelType w:val="hybridMultilevel"/>
    <w:tmpl w:val="2506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A32841"/>
    <w:multiLevelType w:val="hybridMultilevel"/>
    <w:tmpl w:val="E28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96B55"/>
    <w:multiLevelType w:val="hybridMultilevel"/>
    <w:tmpl w:val="DBE2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27973"/>
    <w:multiLevelType w:val="hybridMultilevel"/>
    <w:tmpl w:val="A3BAA5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5864C0"/>
    <w:multiLevelType w:val="hybridMultilevel"/>
    <w:tmpl w:val="E4B456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4E13007"/>
    <w:multiLevelType w:val="hybridMultilevel"/>
    <w:tmpl w:val="9608146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D03D06"/>
    <w:multiLevelType w:val="hybridMultilevel"/>
    <w:tmpl w:val="2CC8624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8DE4D38C">
      <w:numFmt w:val="bullet"/>
      <w:lvlText w:val=""/>
      <w:lvlJc w:val="left"/>
      <w:pPr>
        <w:ind w:left="2880" w:hanging="720"/>
      </w:pPr>
      <w:rPr>
        <w:rFonts w:ascii="Symbol" w:eastAsia="MS Minngs"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95A68"/>
    <w:multiLevelType w:val="hybridMultilevel"/>
    <w:tmpl w:val="33A82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A375FA"/>
    <w:multiLevelType w:val="hybridMultilevel"/>
    <w:tmpl w:val="9FE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8406F"/>
    <w:multiLevelType w:val="hybridMultilevel"/>
    <w:tmpl w:val="99947336"/>
    <w:lvl w:ilvl="0" w:tplc="04090019">
      <w:start w:val="1"/>
      <w:numFmt w:val="lowerLetter"/>
      <w:lvlText w:val="%1."/>
      <w:lvlJc w:val="left"/>
      <w:pPr>
        <w:ind w:left="1800" w:hanging="360"/>
      </w:pPr>
      <w:rPr>
        <w:rFonts w:cs="Times New Roman"/>
      </w:rPr>
    </w:lvl>
    <w:lvl w:ilvl="1" w:tplc="04090001">
      <w:start w:val="1"/>
      <w:numFmt w:val="bullet"/>
      <w:lvlText w:val=""/>
      <w:lvlJc w:val="left"/>
      <w:pPr>
        <w:ind w:left="2520" w:hanging="360"/>
      </w:pPr>
      <w:rPr>
        <w:rFonts w:ascii="Symbol" w:hAnsi="Symbol" w:hint="default"/>
      </w:rPr>
    </w:lvl>
    <w:lvl w:ilvl="2" w:tplc="7ABE2608">
      <w:start w:val="1"/>
      <w:numFmt w:val="decimal"/>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6856936"/>
    <w:multiLevelType w:val="hybridMultilevel"/>
    <w:tmpl w:val="1CBA5E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BB4FB5"/>
    <w:multiLevelType w:val="hybridMultilevel"/>
    <w:tmpl w:val="0C00B47C"/>
    <w:lvl w:ilvl="0" w:tplc="6EE26FC0">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986A53"/>
    <w:multiLevelType w:val="hybridMultilevel"/>
    <w:tmpl w:val="6EFC1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72B2CF6"/>
    <w:multiLevelType w:val="hybridMultilevel"/>
    <w:tmpl w:val="1DF6B0C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BC93F01"/>
    <w:multiLevelType w:val="hybridMultilevel"/>
    <w:tmpl w:val="85AC98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2189A"/>
    <w:multiLevelType w:val="hybridMultilevel"/>
    <w:tmpl w:val="0046EBBA"/>
    <w:lvl w:ilvl="0" w:tplc="DBAE3ED4">
      <w:start w:val="1"/>
      <w:numFmt w:val="bullet"/>
      <w:lvlText w:val=""/>
      <w:lvlJc w:val="left"/>
      <w:pPr>
        <w:tabs>
          <w:tab w:val="num" w:pos="720"/>
        </w:tabs>
        <w:ind w:left="720" w:hanging="360"/>
      </w:pPr>
      <w:rPr>
        <w:rFonts w:ascii="Wingdings" w:hAnsi="Wingdings" w:hint="default"/>
      </w:rPr>
    </w:lvl>
    <w:lvl w:ilvl="1" w:tplc="9D1015FC">
      <w:start w:val="1"/>
      <w:numFmt w:val="bullet"/>
      <w:lvlText w:val=""/>
      <w:lvlJc w:val="left"/>
      <w:pPr>
        <w:tabs>
          <w:tab w:val="num" w:pos="1440"/>
        </w:tabs>
        <w:ind w:left="1440" w:hanging="360"/>
      </w:pPr>
      <w:rPr>
        <w:rFonts w:ascii="Wingdings" w:hAnsi="Wingdings" w:hint="default"/>
      </w:rPr>
    </w:lvl>
    <w:lvl w:ilvl="2" w:tplc="CF1E4626" w:tentative="1">
      <w:start w:val="1"/>
      <w:numFmt w:val="bullet"/>
      <w:lvlText w:val=""/>
      <w:lvlJc w:val="left"/>
      <w:pPr>
        <w:tabs>
          <w:tab w:val="num" w:pos="2160"/>
        </w:tabs>
        <w:ind w:left="2160" w:hanging="360"/>
      </w:pPr>
      <w:rPr>
        <w:rFonts w:ascii="Wingdings" w:hAnsi="Wingdings" w:hint="default"/>
      </w:rPr>
    </w:lvl>
    <w:lvl w:ilvl="3" w:tplc="9F9468EA" w:tentative="1">
      <w:start w:val="1"/>
      <w:numFmt w:val="bullet"/>
      <w:lvlText w:val=""/>
      <w:lvlJc w:val="left"/>
      <w:pPr>
        <w:tabs>
          <w:tab w:val="num" w:pos="2880"/>
        </w:tabs>
        <w:ind w:left="2880" w:hanging="360"/>
      </w:pPr>
      <w:rPr>
        <w:rFonts w:ascii="Wingdings" w:hAnsi="Wingdings" w:hint="default"/>
      </w:rPr>
    </w:lvl>
    <w:lvl w:ilvl="4" w:tplc="5B2640C6" w:tentative="1">
      <w:start w:val="1"/>
      <w:numFmt w:val="bullet"/>
      <w:lvlText w:val=""/>
      <w:lvlJc w:val="left"/>
      <w:pPr>
        <w:tabs>
          <w:tab w:val="num" w:pos="3600"/>
        </w:tabs>
        <w:ind w:left="3600" w:hanging="360"/>
      </w:pPr>
      <w:rPr>
        <w:rFonts w:ascii="Wingdings" w:hAnsi="Wingdings" w:hint="default"/>
      </w:rPr>
    </w:lvl>
    <w:lvl w:ilvl="5" w:tplc="4F329BE6" w:tentative="1">
      <w:start w:val="1"/>
      <w:numFmt w:val="bullet"/>
      <w:lvlText w:val=""/>
      <w:lvlJc w:val="left"/>
      <w:pPr>
        <w:tabs>
          <w:tab w:val="num" w:pos="4320"/>
        </w:tabs>
        <w:ind w:left="4320" w:hanging="360"/>
      </w:pPr>
      <w:rPr>
        <w:rFonts w:ascii="Wingdings" w:hAnsi="Wingdings" w:hint="default"/>
      </w:rPr>
    </w:lvl>
    <w:lvl w:ilvl="6" w:tplc="4586ADB8" w:tentative="1">
      <w:start w:val="1"/>
      <w:numFmt w:val="bullet"/>
      <w:lvlText w:val=""/>
      <w:lvlJc w:val="left"/>
      <w:pPr>
        <w:tabs>
          <w:tab w:val="num" w:pos="5040"/>
        </w:tabs>
        <w:ind w:left="5040" w:hanging="360"/>
      </w:pPr>
      <w:rPr>
        <w:rFonts w:ascii="Wingdings" w:hAnsi="Wingdings" w:hint="default"/>
      </w:rPr>
    </w:lvl>
    <w:lvl w:ilvl="7" w:tplc="21644CBC" w:tentative="1">
      <w:start w:val="1"/>
      <w:numFmt w:val="bullet"/>
      <w:lvlText w:val=""/>
      <w:lvlJc w:val="left"/>
      <w:pPr>
        <w:tabs>
          <w:tab w:val="num" w:pos="5760"/>
        </w:tabs>
        <w:ind w:left="5760" w:hanging="360"/>
      </w:pPr>
      <w:rPr>
        <w:rFonts w:ascii="Wingdings" w:hAnsi="Wingdings" w:hint="default"/>
      </w:rPr>
    </w:lvl>
    <w:lvl w:ilvl="8" w:tplc="3B28D6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56BDC"/>
    <w:multiLevelType w:val="hybridMultilevel"/>
    <w:tmpl w:val="07663D3A"/>
    <w:lvl w:ilvl="0" w:tplc="8B06E96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29106D4"/>
    <w:multiLevelType w:val="hybridMultilevel"/>
    <w:tmpl w:val="4BC8C2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E0D19"/>
    <w:multiLevelType w:val="hybridMultilevel"/>
    <w:tmpl w:val="6784CC96"/>
    <w:lvl w:ilvl="0" w:tplc="65EA552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2"/>
  </w:num>
  <w:num w:numId="5">
    <w:abstractNumId w:val="31"/>
  </w:num>
  <w:num w:numId="6">
    <w:abstractNumId w:val="24"/>
  </w:num>
  <w:num w:numId="7">
    <w:abstractNumId w:val="1"/>
  </w:num>
  <w:num w:numId="8">
    <w:abstractNumId w:val="11"/>
  </w:num>
  <w:num w:numId="9">
    <w:abstractNumId w:val="9"/>
  </w:num>
  <w:num w:numId="10">
    <w:abstractNumId w:val="7"/>
  </w:num>
  <w:num w:numId="11">
    <w:abstractNumId w:val="28"/>
  </w:num>
  <w:num w:numId="12">
    <w:abstractNumId w:val="20"/>
  </w:num>
  <w:num w:numId="13">
    <w:abstractNumId w:val="6"/>
  </w:num>
  <w:num w:numId="14">
    <w:abstractNumId w:val="17"/>
  </w:num>
  <w:num w:numId="15">
    <w:abstractNumId w:val="12"/>
  </w:num>
  <w:num w:numId="16">
    <w:abstractNumId w:val="0"/>
  </w:num>
  <w:num w:numId="17">
    <w:abstractNumId w:val="32"/>
  </w:num>
  <w:num w:numId="18">
    <w:abstractNumId w:val="22"/>
  </w:num>
  <w:num w:numId="19">
    <w:abstractNumId w:val="10"/>
  </w:num>
  <w:num w:numId="20">
    <w:abstractNumId w:val="13"/>
  </w:num>
  <w:num w:numId="21">
    <w:abstractNumId w:val="8"/>
  </w:num>
  <w:num w:numId="22">
    <w:abstractNumId w:val="4"/>
  </w:num>
  <w:num w:numId="23">
    <w:abstractNumId w:val="30"/>
  </w:num>
  <w:num w:numId="24">
    <w:abstractNumId w:val="25"/>
  </w:num>
  <w:num w:numId="25">
    <w:abstractNumId w:val="23"/>
  </w:num>
  <w:num w:numId="26">
    <w:abstractNumId w:val="19"/>
  </w:num>
  <w:num w:numId="27">
    <w:abstractNumId w:val="16"/>
  </w:num>
  <w:num w:numId="28">
    <w:abstractNumId w:val="29"/>
  </w:num>
  <w:num w:numId="29">
    <w:abstractNumId w:val="15"/>
  </w:num>
  <w:num w:numId="30">
    <w:abstractNumId w:val="26"/>
  </w:num>
  <w:num w:numId="31">
    <w:abstractNumId w:val="3"/>
  </w:num>
  <w:num w:numId="32">
    <w:abstractNumId w:val="27"/>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67E"/>
    <w:rsid w:val="00003BCA"/>
    <w:rsid w:val="00004243"/>
    <w:rsid w:val="0000596B"/>
    <w:rsid w:val="0001318D"/>
    <w:rsid w:val="00025B02"/>
    <w:rsid w:val="000274FC"/>
    <w:rsid w:val="00032B0E"/>
    <w:rsid w:val="00037BBA"/>
    <w:rsid w:val="00045B68"/>
    <w:rsid w:val="00045BE3"/>
    <w:rsid w:val="00051B24"/>
    <w:rsid w:val="00054391"/>
    <w:rsid w:val="00084E5B"/>
    <w:rsid w:val="00087945"/>
    <w:rsid w:val="00096578"/>
    <w:rsid w:val="000B76EA"/>
    <w:rsid w:val="000C4E64"/>
    <w:rsid w:val="000D25FD"/>
    <w:rsid w:val="000D45F9"/>
    <w:rsid w:val="000E3422"/>
    <w:rsid w:val="000E4431"/>
    <w:rsid w:val="000F2995"/>
    <w:rsid w:val="00122267"/>
    <w:rsid w:val="00134A51"/>
    <w:rsid w:val="00165237"/>
    <w:rsid w:val="00194327"/>
    <w:rsid w:val="001A124D"/>
    <w:rsid w:val="001A59A2"/>
    <w:rsid w:val="001A5D5C"/>
    <w:rsid w:val="001B1929"/>
    <w:rsid w:val="001B2C04"/>
    <w:rsid w:val="001B4F03"/>
    <w:rsid w:val="001C57B0"/>
    <w:rsid w:val="001D179B"/>
    <w:rsid w:val="001E7333"/>
    <w:rsid w:val="002076B4"/>
    <w:rsid w:val="00212167"/>
    <w:rsid w:val="00222DA7"/>
    <w:rsid w:val="002234CD"/>
    <w:rsid w:val="00233439"/>
    <w:rsid w:val="00237BA6"/>
    <w:rsid w:val="00242D96"/>
    <w:rsid w:val="0024316B"/>
    <w:rsid w:val="002577C7"/>
    <w:rsid w:val="00271D56"/>
    <w:rsid w:val="00274D15"/>
    <w:rsid w:val="00276825"/>
    <w:rsid w:val="002806D3"/>
    <w:rsid w:val="00285962"/>
    <w:rsid w:val="002957B0"/>
    <w:rsid w:val="002A7726"/>
    <w:rsid w:val="002B2C3C"/>
    <w:rsid w:val="002B5CE5"/>
    <w:rsid w:val="002C7252"/>
    <w:rsid w:val="002D3584"/>
    <w:rsid w:val="002D4088"/>
    <w:rsid w:val="002D6DDD"/>
    <w:rsid w:val="002E05AF"/>
    <w:rsid w:val="002E372D"/>
    <w:rsid w:val="00302983"/>
    <w:rsid w:val="00305CC8"/>
    <w:rsid w:val="00312DDE"/>
    <w:rsid w:val="00317C85"/>
    <w:rsid w:val="0034736A"/>
    <w:rsid w:val="0036187C"/>
    <w:rsid w:val="003743B7"/>
    <w:rsid w:val="0038600E"/>
    <w:rsid w:val="003908D3"/>
    <w:rsid w:val="003B28B7"/>
    <w:rsid w:val="003D2841"/>
    <w:rsid w:val="003F3C9F"/>
    <w:rsid w:val="0040634C"/>
    <w:rsid w:val="00424218"/>
    <w:rsid w:val="00433171"/>
    <w:rsid w:val="00436B8A"/>
    <w:rsid w:val="0045066F"/>
    <w:rsid w:val="00453092"/>
    <w:rsid w:val="00454F70"/>
    <w:rsid w:val="00456B4E"/>
    <w:rsid w:val="004656E5"/>
    <w:rsid w:val="004740DE"/>
    <w:rsid w:val="00477078"/>
    <w:rsid w:val="00480EBF"/>
    <w:rsid w:val="00487904"/>
    <w:rsid w:val="00497C58"/>
    <w:rsid w:val="00497FF4"/>
    <w:rsid w:val="004D2B91"/>
    <w:rsid w:val="004D3BEB"/>
    <w:rsid w:val="004D6AB5"/>
    <w:rsid w:val="004D72D5"/>
    <w:rsid w:val="004F08E0"/>
    <w:rsid w:val="004F2246"/>
    <w:rsid w:val="004F224D"/>
    <w:rsid w:val="004F25EE"/>
    <w:rsid w:val="00503086"/>
    <w:rsid w:val="00510283"/>
    <w:rsid w:val="005166C3"/>
    <w:rsid w:val="00542364"/>
    <w:rsid w:val="0055583E"/>
    <w:rsid w:val="0055591C"/>
    <w:rsid w:val="005724E7"/>
    <w:rsid w:val="0059371A"/>
    <w:rsid w:val="005B59C6"/>
    <w:rsid w:val="005B6D5C"/>
    <w:rsid w:val="005C4D79"/>
    <w:rsid w:val="005E3333"/>
    <w:rsid w:val="005E467E"/>
    <w:rsid w:val="005F3D92"/>
    <w:rsid w:val="005F5039"/>
    <w:rsid w:val="00615B78"/>
    <w:rsid w:val="00621FDC"/>
    <w:rsid w:val="006252F7"/>
    <w:rsid w:val="006300CA"/>
    <w:rsid w:val="00635830"/>
    <w:rsid w:val="00642E50"/>
    <w:rsid w:val="00644DE5"/>
    <w:rsid w:val="00646113"/>
    <w:rsid w:val="006527D5"/>
    <w:rsid w:val="00662705"/>
    <w:rsid w:val="00664998"/>
    <w:rsid w:val="006662EE"/>
    <w:rsid w:val="006956E5"/>
    <w:rsid w:val="0069648D"/>
    <w:rsid w:val="006B6FBE"/>
    <w:rsid w:val="006C18E3"/>
    <w:rsid w:val="006C496C"/>
    <w:rsid w:val="006E1D26"/>
    <w:rsid w:val="006F2DB2"/>
    <w:rsid w:val="006F60D3"/>
    <w:rsid w:val="007127C6"/>
    <w:rsid w:val="00717ED5"/>
    <w:rsid w:val="00720FDF"/>
    <w:rsid w:val="0074039B"/>
    <w:rsid w:val="00743080"/>
    <w:rsid w:val="00746D1C"/>
    <w:rsid w:val="00750873"/>
    <w:rsid w:val="007512BF"/>
    <w:rsid w:val="007542F7"/>
    <w:rsid w:val="00763DC1"/>
    <w:rsid w:val="007751EA"/>
    <w:rsid w:val="00777190"/>
    <w:rsid w:val="00780F9E"/>
    <w:rsid w:val="007A1DEB"/>
    <w:rsid w:val="007A329A"/>
    <w:rsid w:val="007A6BD5"/>
    <w:rsid w:val="007C7B7F"/>
    <w:rsid w:val="007D630D"/>
    <w:rsid w:val="007E1E8F"/>
    <w:rsid w:val="007F514A"/>
    <w:rsid w:val="00800577"/>
    <w:rsid w:val="008037B5"/>
    <w:rsid w:val="00807641"/>
    <w:rsid w:val="00810D40"/>
    <w:rsid w:val="008345AC"/>
    <w:rsid w:val="008349B0"/>
    <w:rsid w:val="00847243"/>
    <w:rsid w:val="008563EC"/>
    <w:rsid w:val="00876D43"/>
    <w:rsid w:val="008A0587"/>
    <w:rsid w:val="008A16E8"/>
    <w:rsid w:val="008B1147"/>
    <w:rsid w:val="008C1B69"/>
    <w:rsid w:val="008C6689"/>
    <w:rsid w:val="008F2D3E"/>
    <w:rsid w:val="008F346F"/>
    <w:rsid w:val="00900B06"/>
    <w:rsid w:val="00903B28"/>
    <w:rsid w:val="00920D61"/>
    <w:rsid w:val="00924C1E"/>
    <w:rsid w:val="009252A6"/>
    <w:rsid w:val="0092669C"/>
    <w:rsid w:val="0093386F"/>
    <w:rsid w:val="009400B9"/>
    <w:rsid w:val="00940B4B"/>
    <w:rsid w:val="009542AB"/>
    <w:rsid w:val="009646F6"/>
    <w:rsid w:val="009679FA"/>
    <w:rsid w:val="00976665"/>
    <w:rsid w:val="00980837"/>
    <w:rsid w:val="009812C9"/>
    <w:rsid w:val="00984E73"/>
    <w:rsid w:val="009A3367"/>
    <w:rsid w:val="009D5625"/>
    <w:rsid w:val="009E0A6C"/>
    <w:rsid w:val="009F016D"/>
    <w:rsid w:val="00A0050E"/>
    <w:rsid w:val="00A05D48"/>
    <w:rsid w:val="00A111C0"/>
    <w:rsid w:val="00A17711"/>
    <w:rsid w:val="00A344D7"/>
    <w:rsid w:val="00A46C82"/>
    <w:rsid w:val="00A5056B"/>
    <w:rsid w:val="00A517A1"/>
    <w:rsid w:val="00A764AF"/>
    <w:rsid w:val="00A76FF8"/>
    <w:rsid w:val="00A77BE2"/>
    <w:rsid w:val="00A90F2D"/>
    <w:rsid w:val="00A91128"/>
    <w:rsid w:val="00AA048F"/>
    <w:rsid w:val="00AB67D7"/>
    <w:rsid w:val="00AC4265"/>
    <w:rsid w:val="00AD3A39"/>
    <w:rsid w:val="00AD65F3"/>
    <w:rsid w:val="00AE332F"/>
    <w:rsid w:val="00B01567"/>
    <w:rsid w:val="00B03D40"/>
    <w:rsid w:val="00B273E8"/>
    <w:rsid w:val="00B31BA8"/>
    <w:rsid w:val="00B34E06"/>
    <w:rsid w:val="00B50752"/>
    <w:rsid w:val="00B6534A"/>
    <w:rsid w:val="00B67920"/>
    <w:rsid w:val="00B816F2"/>
    <w:rsid w:val="00B84165"/>
    <w:rsid w:val="00B94D73"/>
    <w:rsid w:val="00BB085B"/>
    <w:rsid w:val="00BC4CDF"/>
    <w:rsid w:val="00BD525D"/>
    <w:rsid w:val="00BF30C8"/>
    <w:rsid w:val="00C141A6"/>
    <w:rsid w:val="00C31A25"/>
    <w:rsid w:val="00C70779"/>
    <w:rsid w:val="00C750F1"/>
    <w:rsid w:val="00C96F0A"/>
    <w:rsid w:val="00C97CCB"/>
    <w:rsid w:val="00CA2381"/>
    <w:rsid w:val="00CB0DBA"/>
    <w:rsid w:val="00CB1332"/>
    <w:rsid w:val="00CC5014"/>
    <w:rsid w:val="00CC58E2"/>
    <w:rsid w:val="00CD672B"/>
    <w:rsid w:val="00CE7BDB"/>
    <w:rsid w:val="00D24D90"/>
    <w:rsid w:val="00D2514D"/>
    <w:rsid w:val="00D52231"/>
    <w:rsid w:val="00D52E46"/>
    <w:rsid w:val="00D62DBA"/>
    <w:rsid w:val="00D65E2A"/>
    <w:rsid w:val="00D76506"/>
    <w:rsid w:val="00D9145F"/>
    <w:rsid w:val="00DA5346"/>
    <w:rsid w:val="00DA5CD3"/>
    <w:rsid w:val="00E00009"/>
    <w:rsid w:val="00E13F4F"/>
    <w:rsid w:val="00E2788F"/>
    <w:rsid w:val="00E42D59"/>
    <w:rsid w:val="00E571DA"/>
    <w:rsid w:val="00E62448"/>
    <w:rsid w:val="00E6494E"/>
    <w:rsid w:val="00E67831"/>
    <w:rsid w:val="00E720CD"/>
    <w:rsid w:val="00E76F93"/>
    <w:rsid w:val="00EA2DA3"/>
    <w:rsid w:val="00EB3662"/>
    <w:rsid w:val="00EB56A2"/>
    <w:rsid w:val="00EC4E52"/>
    <w:rsid w:val="00ED2266"/>
    <w:rsid w:val="00F023EE"/>
    <w:rsid w:val="00F12E3E"/>
    <w:rsid w:val="00F3143D"/>
    <w:rsid w:val="00F4101E"/>
    <w:rsid w:val="00F412DE"/>
    <w:rsid w:val="00F511DD"/>
    <w:rsid w:val="00F75D68"/>
    <w:rsid w:val="00F7682A"/>
    <w:rsid w:val="00F76BF0"/>
    <w:rsid w:val="00F77894"/>
    <w:rsid w:val="00F867A2"/>
    <w:rsid w:val="00F86C1D"/>
    <w:rsid w:val="00F92E36"/>
    <w:rsid w:val="00F95C52"/>
    <w:rsid w:val="00FB7881"/>
    <w:rsid w:val="00FC3EAA"/>
    <w:rsid w:val="00FC418B"/>
    <w:rsid w:val="00FD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E6B02F4"/>
  <w15:docId w15:val="{76973191-D9B6-4F1E-BFA5-CE1B18CD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99"/>
    <w:qFormat/>
    <w:rsid w:val="005E467E"/>
    <w:rPr>
      <w:rFonts w:cs="Times New Roman"/>
      <w:i/>
      <w:iCs/>
      <w:color w:val="808080"/>
    </w:rPr>
  </w:style>
  <w:style w:type="character" w:styleId="IntenseEmphasis">
    <w:name w:val="Intense Emphasis"/>
    <w:uiPriority w:val="99"/>
    <w:qFormat/>
    <w:rsid w:val="005E467E"/>
    <w:rPr>
      <w:rFonts w:cs="Times New Roman"/>
      <w:b/>
      <w:bCs/>
      <w:i/>
      <w:iCs/>
      <w:color w:val="4F81BD"/>
    </w:rPr>
  </w:style>
  <w:style w:type="paragraph" w:styleId="BalloonText">
    <w:name w:val="Balloon Text"/>
    <w:basedOn w:val="Normal"/>
    <w:link w:val="BalloonTextChar"/>
    <w:uiPriority w:val="99"/>
    <w:semiHidden/>
    <w:rsid w:val="005E46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67E"/>
    <w:rPr>
      <w:rFonts w:ascii="Tahoma" w:hAnsi="Tahoma" w:cs="Tahoma"/>
      <w:sz w:val="16"/>
      <w:szCs w:val="16"/>
    </w:rPr>
  </w:style>
  <w:style w:type="paragraph" w:styleId="ListParagraph">
    <w:name w:val="List Paragraph"/>
    <w:basedOn w:val="Normal"/>
    <w:uiPriority w:val="99"/>
    <w:qFormat/>
    <w:rsid w:val="005E467E"/>
    <w:pPr>
      <w:ind w:left="720"/>
      <w:contextualSpacing/>
    </w:pPr>
  </w:style>
  <w:style w:type="paragraph" w:styleId="Header">
    <w:name w:val="header"/>
    <w:basedOn w:val="Normal"/>
    <w:link w:val="HeaderChar"/>
    <w:uiPriority w:val="99"/>
    <w:rsid w:val="000E3422"/>
    <w:pPr>
      <w:tabs>
        <w:tab w:val="center" w:pos="4680"/>
        <w:tab w:val="right" w:pos="9360"/>
      </w:tabs>
      <w:spacing w:after="0" w:line="240" w:lineRule="auto"/>
    </w:pPr>
  </w:style>
  <w:style w:type="character" w:customStyle="1" w:styleId="HeaderChar">
    <w:name w:val="Header Char"/>
    <w:link w:val="Header"/>
    <w:uiPriority w:val="99"/>
    <w:locked/>
    <w:rsid w:val="000E3422"/>
    <w:rPr>
      <w:rFonts w:cs="Times New Roman"/>
    </w:rPr>
  </w:style>
  <w:style w:type="paragraph" w:styleId="Footer">
    <w:name w:val="footer"/>
    <w:basedOn w:val="Normal"/>
    <w:link w:val="FooterChar"/>
    <w:uiPriority w:val="99"/>
    <w:rsid w:val="000E3422"/>
    <w:pPr>
      <w:tabs>
        <w:tab w:val="center" w:pos="4680"/>
        <w:tab w:val="right" w:pos="9360"/>
      </w:tabs>
      <w:spacing w:after="0" w:line="240" w:lineRule="auto"/>
    </w:pPr>
  </w:style>
  <w:style w:type="character" w:customStyle="1" w:styleId="FooterChar">
    <w:name w:val="Footer Char"/>
    <w:link w:val="Footer"/>
    <w:uiPriority w:val="99"/>
    <w:locked/>
    <w:rsid w:val="000E3422"/>
    <w:rPr>
      <w:rFonts w:cs="Times New Roman"/>
    </w:rPr>
  </w:style>
  <w:style w:type="paragraph" w:styleId="Subtitle">
    <w:name w:val="Subtitle"/>
    <w:basedOn w:val="Normal"/>
    <w:next w:val="Normal"/>
    <w:link w:val="SubtitleChar"/>
    <w:uiPriority w:val="99"/>
    <w:qFormat/>
    <w:rsid w:val="000E3422"/>
    <w:pPr>
      <w:numPr>
        <w:ilvl w:val="1"/>
      </w:numPr>
    </w:pPr>
    <w:rPr>
      <w:rFonts w:ascii="Cambria" w:eastAsia="MS Gothi" w:hAnsi="Cambria"/>
      <w:i/>
      <w:iCs/>
      <w:color w:val="4F81BD"/>
      <w:spacing w:val="15"/>
      <w:sz w:val="24"/>
      <w:szCs w:val="24"/>
    </w:rPr>
  </w:style>
  <w:style w:type="character" w:customStyle="1" w:styleId="SubtitleChar">
    <w:name w:val="Subtitle Char"/>
    <w:link w:val="Subtitle"/>
    <w:uiPriority w:val="99"/>
    <w:locked/>
    <w:rsid w:val="000E3422"/>
    <w:rPr>
      <w:rFonts w:ascii="Cambria" w:eastAsia="MS Gothi" w:hAnsi="Cambria" w:cs="Times New Roman"/>
      <w:i/>
      <w:iCs/>
      <w:color w:val="4F81BD"/>
      <w:spacing w:val="15"/>
      <w:sz w:val="24"/>
      <w:szCs w:val="24"/>
    </w:rPr>
  </w:style>
  <w:style w:type="paragraph" w:styleId="CommentText">
    <w:name w:val="annotation text"/>
    <w:basedOn w:val="Normal"/>
    <w:link w:val="CommentTextChar"/>
    <w:uiPriority w:val="99"/>
    <w:rsid w:val="0092669C"/>
    <w:pPr>
      <w:spacing w:line="240" w:lineRule="auto"/>
    </w:pPr>
    <w:rPr>
      <w:sz w:val="20"/>
      <w:szCs w:val="20"/>
    </w:rPr>
  </w:style>
  <w:style w:type="character" w:customStyle="1" w:styleId="CommentTextChar">
    <w:name w:val="Comment Text Char"/>
    <w:link w:val="CommentText"/>
    <w:uiPriority w:val="99"/>
    <w:locked/>
    <w:rsid w:val="0092669C"/>
    <w:rPr>
      <w:rFonts w:cs="Times New Roman"/>
      <w:sz w:val="20"/>
      <w:szCs w:val="20"/>
    </w:rPr>
  </w:style>
  <w:style w:type="table" w:styleId="TableGrid">
    <w:name w:val="Table Grid"/>
    <w:basedOn w:val="TableNormal"/>
    <w:uiPriority w:val="99"/>
    <w:rsid w:val="0092669C"/>
    <w:rPr>
      <w:rFonts w:eastAsia="MS Minng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92669C"/>
    <w:rPr>
      <w:rFonts w:eastAsia="MS Minngs"/>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F3C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F3C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F3C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uiPriority w:val="99"/>
    <w:rsid w:val="003F3C9F"/>
    <w:pPr>
      <w:autoSpaceDE w:val="0"/>
      <w:autoSpaceDN w:val="0"/>
      <w:adjustRightInd w:val="0"/>
      <w:spacing w:after="0" w:line="201" w:lineRule="atLeast"/>
    </w:pPr>
    <w:rPr>
      <w:rFonts w:ascii="Myriad Pro" w:hAnsi="Myriad Pro"/>
      <w:sz w:val="24"/>
      <w:szCs w:val="24"/>
    </w:rPr>
  </w:style>
  <w:style w:type="character" w:customStyle="1" w:styleId="A0">
    <w:name w:val="A0"/>
    <w:uiPriority w:val="99"/>
    <w:rsid w:val="003F3C9F"/>
    <w:rPr>
      <w:color w:val="000000"/>
    </w:rPr>
  </w:style>
  <w:style w:type="table" w:customStyle="1" w:styleId="PlainTable11">
    <w:name w:val="Plain Table 11"/>
    <w:uiPriority w:val="99"/>
    <w:rsid w:val="003F3C9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5">
    <w:name w:val="Table Grid5"/>
    <w:uiPriority w:val="99"/>
    <w:rsid w:val="005F503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763DC1"/>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B31BA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B31BA8"/>
    <w:rPr>
      <w:rFonts w:cs="Times New Roman"/>
      <w:sz w:val="16"/>
      <w:szCs w:val="16"/>
    </w:rPr>
  </w:style>
  <w:style w:type="paragraph" w:styleId="CommentSubject">
    <w:name w:val="annotation subject"/>
    <w:basedOn w:val="CommentText"/>
    <w:next w:val="CommentText"/>
    <w:link w:val="CommentSubjectChar"/>
    <w:uiPriority w:val="99"/>
    <w:semiHidden/>
    <w:rsid w:val="00B31BA8"/>
    <w:rPr>
      <w:b/>
      <w:bCs/>
    </w:rPr>
  </w:style>
  <w:style w:type="character" w:customStyle="1" w:styleId="CommentSubjectChar">
    <w:name w:val="Comment Subject Char"/>
    <w:link w:val="CommentSubject"/>
    <w:uiPriority w:val="99"/>
    <w:semiHidden/>
    <w:locked/>
    <w:rsid w:val="00B31BA8"/>
    <w:rPr>
      <w:rFonts w:cs="Times New Roman"/>
      <w:b/>
      <w:bCs/>
      <w:sz w:val="20"/>
      <w:szCs w:val="20"/>
    </w:rPr>
  </w:style>
  <w:style w:type="paragraph" w:styleId="BodyText3">
    <w:name w:val="Body Text 3"/>
    <w:aliases w:val="Content text"/>
    <w:basedOn w:val="Normal"/>
    <w:link w:val="BodyText3Char"/>
    <w:uiPriority w:val="99"/>
    <w:semiHidden/>
    <w:rsid w:val="007127C6"/>
    <w:pPr>
      <w:spacing w:after="120" w:line="240" w:lineRule="auto"/>
    </w:pPr>
    <w:rPr>
      <w:rFonts w:ascii="Rockwell" w:eastAsia="Times New Roman" w:hAnsi="Rockwell" w:cs="Arial"/>
      <w:sz w:val="24"/>
      <w:szCs w:val="24"/>
    </w:rPr>
  </w:style>
  <w:style w:type="character" w:customStyle="1" w:styleId="BodyText3Char">
    <w:name w:val="Body Text 3 Char"/>
    <w:aliases w:val="Content text Char"/>
    <w:link w:val="BodyText3"/>
    <w:uiPriority w:val="99"/>
    <w:semiHidden/>
    <w:locked/>
    <w:rsid w:val="007127C6"/>
    <w:rPr>
      <w:rFonts w:ascii="Rockwell" w:hAnsi="Rockwell" w:cs="Arial"/>
      <w:sz w:val="24"/>
      <w:szCs w:val="24"/>
    </w:rPr>
  </w:style>
  <w:style w:type="paragraph" w:styleId="Revision">
    <w:name w:val="Revision"/>
    <w:hidden/>
    <w:uiPriority w:val="99"/>
    <w:semiHidden/>
    <w:rsid w:val="00642E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8991">
      <w:marLeft w:val="0"/>
      <w:marRight w:val="0"/>
      <w:marTop w:val="0"/>
      <w:marBottom w:val="0"/>
      <w:divBdr>
        <w:top w:val="none" w:sz="0" w:space="0" w:color="auto"/>
        <w:left w:val="none" w:sz="0" w:space="0" w:color="auto"/>
        <w:bottom w:val="none" w:sz="0" w:space="0" w:color="auto"/>
        <w:right w:val="none" w:sz="0" w:space="0" w:color="auto"/>
      </w:divBdr>
    </w:div>
    <w:div w:id="729498994">
      <w:marLeft w:val="0"/>
      <w:marRight w:val="0"/>
      <w:marTop w:val="0"/>
      <w:marBottom w:val="0"/>
      <w:divBdr>
        <w:top w:val="none" w:sz="0" w:space="0" w:color="auto"/>
        <w:left w:val="none" w:sz="0" w:space="0" w:color="auto"/>
        <w:bottom w:val="none" w:sz="0" w:space="0" w:color="auto"/>
        <w:right w:val="none" w:sz="0" w:space="0" w:color="auto"/>
      </w:divBdr>
    </w:div>
    <w:div w:id="729498995">
      <w:marLeft w:val="0"/>
      <w:marRight w:val="0"/>
      <w:marTop w:val="0"/>
      <w:marBottom w:val="0"/>
      <w:divBdr>
        <w:top w:val="none" w:sz="0" w:space="0" w:color="auto"/>
        <w:left w:val="none" w:sz="0" w:space="0" w:color="auto"/>
        <w:bottom w:val="none" w:sz="0" w:space="0" w:color="auto"/>
        <w:right w:val="none" w:sz="0" w:space="0" w:color="auto"/>
      </w:divBdr>
    </w:div>
    <w:div w:id="729498998">
      <w:marLeft w:val="0"/>
      <w:marRight w:val="0"/>
      <w:marTop w:val="0"/>
      <w:marBottom w:val="0"/>
      <w:divBdr>
        <w:top w:val="none" w:sz="0" w:space="0" w:color="auto"/>
        <w:left w:val="none" w:sz="0" w:space="0" w:color="auto"/>
        <w:bottom w:val="none" w:sz="0" w:space="0" w:color="auto"/>
        <w:right w:val="none" w:sz="0" w:space="0" w:color="auto"/>
      </w:divBdr>
      <w:divsChild>
        <w:div w:id="729498989">
          <w:marLeft w:val="1166"/>
          <w:marRight w:val="0"/>
          <w:marTop w:val="0"/>
          <w:marBottom w:val="0"/>
          <w:divBdr>
            <w:top w:val="none" w:sz="0" w:space="0" w:color="auto"/>
            <w:left w:val="none" w:sz="0" w:space="0" w:color="auto"/>
            <w:bottom w:val="none" w:sz="0" w:space="0" w:color="auto"/>
            <w:right w:val="none" w:sz="0" w:space="0" w:color="auto"/>
          </w:divBdr>
        </w:div>
        <w:div w:id="729498992">
          <w:marLeft w:val="1166"/>
          <w:marRight w:val="0"/>
          <w:marTop w:val="0"/>
          <w:marBottom w:val="0"/>
          <w:divBdr>
            <w:top w:val="none" w:sz="0" w:space="0" w:color="auto"/>
            <w:left w:val="none" w:sz="0" w:space="0" w:color="auto"/>
            <w:bottom w:val="none" w:sz="0" w:space="0" w:color="auto"/>
            <w:right w:val="none" w:sz="0" w:space="0" w:color="auto"/>
          </w:divBdr>
        </w:div>
        <w:div w:id="729498993">
          <w:marLeft w:val="1166"/>
          <w:marRight w:val="0"/>
          <w:marTop w:val="0"/>
          <w:marBottom w:val="0"/>
          <w:divBdr>
            <w:top w:val="none" w:sz="0" w:space="0" w:color="auto"/>
            <w:left w:val="none" w:sz="0" w:space="0" w:color="auto"/>
            <w:bottom w:val="none" w:sz="0" w:space="0" w:color="auto"/>
            <w:right w:val="none" w:sz="0" w:space="0" w:color="auto"/>
          </w:divBdr>
        </w:div>
        <w:div w:id="729498997">
          <w:marLeft w:val="1166"/>
          <w:marRight w:val="0"/>
          <w:marTop w:val="0"/>
          <w:marBottom w:val="0"/>
          <w:divBdr>
            <w:top w:val="none" w:sz="0" w:space="0" w:color="auto"/>
            <w:left w:val="none" w:sz="0" w:space="0" w:color="auto"/>
            <w:bottom w:val="none" w:sz="0" w:space="0" w:color="auto"/>
            <w:right w:val="none" w:sz="0" w:space="0" w:color="auto"/>
          </w:divBdr>
        </w:div>
      </w:divsChild>
    </w:div>
    <w:div w:id="729498999">
      <w:marLeft w:val="0"/>
      <w:marRight w:val="0"/>
      <w:marTop w:val="0"/>
      <w:marBottom w:val="0"/>
      <w:divBdr>
        <w:top w:val="none" w:sz="0" w:space="0" w:color="auto"/>
        <w:left w:val="none" w:sz="0" w:space="0" w:color="auto"/>
        <w:bottom w:val="none" w:sz="0" w:space="0" w:color="auto"/>
        <w:right w:val="none" w:sz="0" w:space="0" w:color="auto"/>
      </w:divBdr>
    </w:div>
    <w:div w:id="729499001">
      <w:marLeft w:val="0"/>
      <w:marRight w:val="0"/>
      <w:marTop w:val="0"/>
      <w:marBottom w:val="0"/>
      <w:divBdr>
        <w:top w:val="none" w:sz="0" w:space="0" w:color="auto"/>
        <w:left w:val="none" w:sz="0" w:space="0" w:color="auto"/>
        <w:bottom w:val="none" w:sz="0" w:space="0" w:color="auto"/>
        <w:right w:val="none" w:sz="0" w:space="0" w:color="auto"/>
      </w:divBdr>
      <w:divsChild>
        <w:div w:id="729499000">
          <w:marLeft w:val="547"/>
          <w:marRight w:val="0"/>
          <w:marTop w:val="67"/>
          <w:marBottom w:val="0"/>
          <w:divBdr>
            <w:top w:val="none" w:sz="0" w:space="0" w:color="auto"/>
            <w:left w:val="none" w:sz="0" w:space="0" w:color="auto"/>
            <w:bottom w:val="none" w:sz="0" w:space="0" w:color="auto"/>
            <w:right w:val="none" w:sz="0" w:space="0" w:color="auto"/>
          </w:divBdr>
        </w:div>
      </w:divsChild>
    </w:div>
    <w:div w:id="729499002">
      <w:marLeft w:val="0"/>
      <w:marRight w:val="0"/>
      <w:marTop w:val="0"/>
      <w:marBottom w:val="0"/>
      <w:divBdr>
        <w:top w:val="none" w:sz="0" w:space="0" w:color="auto"/>
        <w:left w:val="none" w:sz="0" w:space="0" w:color="auto"/>
        <w:bottom w:val="none" w:sz="0" w:space="0" w:color="auto"/>
        <w:right w:val="none" w:sz="0" w:space="0" w:color="auto"/>
      </w:divBdr>
      <w:divsChild>
        <w:div w:id="729498990">
          <w:marLeft w:val="1166"/>
          <w:marRight w:val="0"/>
          <w:marTop w:val="0"/>
          <w:marBottom w:val="0"/>
          <w:divBdr>
            <w:top w:val="none" w:sz="0" w:space="0" w:color="auto"/>
            <w:left w:val="none" w:sz="0" w:space="0" w:color="auto"/>
            <w:bottom w:val="none" w:sz="0" w:space="0" w:color="auto"/>
            <w:right w:val="none" w:sz="0" w:space="0" w:color="auto"/>
          </w:divBdr>
        </w:div>
        <w:div w:id="729498996">
          <w:marLeft w:val="1166"/>
          <w:marRight w:val="0"/>
          <w:marTop w:val="0"/>
          <w:marBottom w:val="0"/>
          <w:divBdr>
            <w:top w:val="none" w:sz="0" w:space="0" w:color="auto"/>
            <w:left w:val="none" w:sz="0" w:space="0" w:color="auto"/>
            <w:bottom w:val="none" w:sz="0" w:space="0" w:color="auto"/>
            <w:right w:val="none" w:sz="0" w:space="0" w:color="auto"/>
          </w:divBdr>
        </w:div>
        <w:div w:id="729499004">
          <w:marLeft w:val="1166"/>
          <w:marRight w:val="0"/>
          <w:marTop w:val="0"/>
          <w:marBottom w:val="0"/>
          <w:divBdr>
            <w:top w:val="none" w:sz="0" w:space="0" w:color="auto"/>
            <w:left w:val="none" w:sz="0" w:space="0" w:color="auto"/>
            <w:bottom w:val="none" w:sz="0" w:space="0" w:color="auto"/>
            <w:right w:val="none" w:sz="0" w:space="0" w:color="auto"/>
          </w:divBdr>
        </w:div>
        <w:div w:id="729499006">
          <w:marLeft w:val="1166"/>
          <w:marRight w:val="0"/>
          <w:marTop w:val="0"/>
          <w:marBottom w:val="0"/>
          <w:divBdr>
            <w:top w:val="none" w:sz="0" w:space="0" w:color="auto"/>
            <w:left w:val="none" w:sz="0" w:space="0" w:color="auto"/>
            <w:bottom w:val="none" w:sz="0" w:space="0" w:color="auto"/>
            <w:right w:val="none" w:sz="0" w:space="0" w:color="auto"/>
          </w:divBdr>
        </w:div>
      </w:divsChild>
    </w:div>
    <w:div w:id="729499003">
      <w:marLeft w:val="0"/>
      <w:marRight w:val="0"/>
      <w:marTop w:val="0"/>
      <w:marBottom w:val="0"/>
      <w:divBdr>
        <w:top w:val="none" w:sz="0" w:space="0" w:color="auto"/>
        <w:left w:val="none" w:sz="0" w:space="0" w:color="auto"/>
        <w:bottom w:val="none" w:sz="0" w:space="0" w:color="auto"/>
        <w:right w:val="none" w:sz="0" w:space="0" w:color="auto"/>
      </w:divBdr>
    </w:div>
    <w:div w:id="729499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Columbia University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Olsen, Halli</dc:creator>
  <cp:keywords/>
  <dc:description/>
  <cp:lastModifiedBy>Anne Schoeneborn</cp:lastModifiedBy>
  <cp:revision>3</cp:revision>
  <dcterms:created xsi:type="dcterms:W3CDTF">2017-10-03T12:48:00Z</dcterms:created>
  <dcterms:modified xsi:type="dcterms:W3CDTF">2017-10-05T14:27:00Z</dcterms:modified>
</cp:coreProperties>
</file>